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B4" w:rsidRDefault="00533BB4" w:rsidP="002E2452">
      <w:pPr>
        <w:tabs>
          <w:tab w:val="left" w:pos="993"/>
        </w:tabs>
        <w:rPr>
          <w:rFonts w:ascii="Times New Roman" w:hAnsi="Times New Roman" w:cs="Times New Roman"/>
          <w:b/>
          <w:sz w:val="28"/>
        </w:rPr>
      </w:pPr>
    </w:p>
    <w:p w:rsidR="002A1D6E" w:rsidRDefault="00533BB4" w:rsidP="00533BB4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533B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3375C6">
        <w:rPr>
          <w:rFonts w:ascii="Times New Roman" w:hAnsi="Times New Roman" w:cs="Times New Roman"/>
          <w:b/>
          <w:sz w:val="28"/>
        </w:rPr>
        <w:t>Panamá</w:t>
      </w:r>
    </w:p>
    <w:p w:rsidR="00533BB4" w:rsidRPr="00111B86" w:rsidRDefault="00533BB4" w:rsidP="00111B86">
      <w:pPr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3375C6" w:rsidRPr="003375C6">
        <w:rPr>
          <w:rFonts w:ascii="Times New Roman" w:hAnsi="Times New Roman" w:cs="Times New Roman"/>
          <w:sz w:val="24"/>
        </w:rPr>
        <w:t xml:space="preserve">Panamá </w:t>
      </w:r>
      <w:r>
        <w:rPr>
          <w:rFonts w:ascii="Times New Roman" w:hAnsi="Times New Roman" w:cs="Times New Roman"/>
          <w:sz w:val="24"/>
        </w:rPr>
        <w:t xml:space="preserve">ha dejado un saldo </w:t>
      </w:r>
      <w:r w:rsidR="007E434D">
        <w:rPr>
          <w:rFonts w:ascii="Times New Roman" w:hAnsi="Times New Roman" w:cs="Times New Roman"/>
          <w:sz w:val="24"/>
        </w:rPr>
        <w:t>negativo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3375C6" w:rsidRPr="003375C6">
        <w:rPr>
          <w:rFonts w:ascii="Times New Roman" w:hAnsi="Times New Roman" w:cs="Times New Roman"/>
          <w:sz w:val="24"/>
        </w:rPr>
        <w:t xml:space="preserve">Panamá </w:t>
      </w:r>
      <w:r w:rsidR="003375C6">
        <w:rPr>
          <w:rFonts w:ascii="Times New Roman" w:hAnsi="Times New Roman" w:cs="Times New Roman"/>
          <w:sz w:val="24"/>
        </w:rPr>
        <w:t>de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2E5675">
        <w:rPr>
          <w:rFonts w:ascii="Times New Roman" w:hAnsi="Times New Roman" w:cs="Times New Roman"/>
          <w:b/>
          <w:sz w:val="24"/>
          <w:szCs w:val="24"/>
          <w:lang w:val="es-PY"/>
        </w:rPr>
        <w:t>87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2E5675">
        <w:rPr>
          <w:rFonts w:ascii="Times New Roman" w:hAnsi="Times New Roman" w:cs="Times New Roman"/>
          <w:sz w:val="24"/>
          <w:szCs w:val="24"/>
          <w:lang w:val="es-PY"/>
        </w:rPr>
        <w:t>39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2E5675">
        <w:rPr>
          <w:rFonts w:ascii="Times New Roman" w:hAnsi="Times New Roman" w:cs="Times New Roman"/>
          <w:sz w:val="24"/>
          <w:szCs w:val="24"/>
          <w:lang w:val="es-PY"/>
        </w:rPr>
        <w:t>5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3375C6" w:rsidRPr="003375C6">
        <w:rPr>
          <w:rFonts w:ascii="Times New Roman" w:hAnsi="Times New Roman" w:cs="Times New Roman"/>
          <w:sz w:val="24"/>
        </w:rPr>
        <w:t xml:space="preserve">Panamá </w:t>
      </w:r>
      <w:r w:rsidR="003375C6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3375C6">
        <w:rPr>
          <w:rFonts w:ascii="Times New Roman" w:hAnsi="Times New Roman" w:cs="Times New Roman"/>
          <w:b/>
          <w:sz w:val="24"/>
          <w:szCs w:val="24"/>
          <w:lang w:val="es-PY"/>
        </w:rPr>
        <w:t>93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2E5675">
        <w:rPr>
          <w:rFonts w:ascii="Times New Roman" w:hAnsi="Times New Roman" w:cs="Times New Roman"/>
          <w:sz w:val="24"/>
          <w:szCs w:val="24"/>
          <w:lang w:val="es-PY"/>
        </w:rPr>
        <w:t>124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>millones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2E5675">
        <w:rPr>
          <w:rFonts w:ascii="Times New Roman" w:hAnsi="Times New Roman" w:cs="Times New Roman"/>
          <w:sz w:val="24"/>
          <w:szCs w:val="24"/>
          <w:lang w:val="es-PY"/>
        </w:rPr>
        <w:t>8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millones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>
      <w:bookmarkStart w:id="0" w:name="_GoBack"/>
      <w:bookmarkEnd w:id="0"/>
    </w:p>
    <w:p w:rsidR="002A1D6E" w:rsidRDefault="002A1D6E" w:rsidP="00FE0A28"/>
    <w:p w:rsidR="002A1D6E" w:rsidRDefault="002A1D6E" w:rsidP="00FE0A28"/>
    <w:p w:rsidR="002A1D6E" w:rsidRDefault="002A1D6E" w:rsidP="00FE0A28"/>
    <w:p w:rsidR="00506B65" w:rsidRDefault="00506B65" w:rsidP="00FE0A28"/>
    <w:p w:rsidR="002A1D6E" w:rsidRDefault="002A1D6E" w:rsidP="00FE0A28"/>
    <w:p w:rsidR="00DF6A49" w:rsidRDefault="00FE0A28" w:rsidP="003375C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3375C6" w:rsidRPr="003375C6">
        <w:rPr>
          <w:rFonts w:ascii="Times New Roman" w:hAnsi="Times New Roman" w:cs="Times New Roman"/>
          <w:b/>
          <w:sz w:val="24"/>
        </w:rPr>
        <w:t>Panamá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2E5675">
        <w:rPr>
          <w:rFonts w:ascii="Times New Roman" w:hAnsi="Times New Roman" w:cs="Times New Roman"/>
          <w:sz w:val="24"/>
        </w:rPr>
        <w:t>5</w:t>
      </w:r>
      <w:r w:rsidR="00E57039" w:rsidRPr="00DF6A49">
        <w:rPr>
          <w:rFonts w:ascii="Times New Roman" w:hAnsi="Times New Roman" w:cs="Times New Roman"/>
          <w:sz w:val="24"/>
        </w:rPr>
        <w:t xml:space="preserve"> millones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2E2452" w:rsidP="002E2452">
      <w:pPr>
        <w:pStyle w:val="Prrafodelista"/>
        <w:tabs>
          <w:tab w:val="left" w:pos="298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5D037A" w:rsidRDefault="006A5690" w:rsidP="005D037A">
      <w:pPr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3375C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3375C6" w:rsidRPr="003375C6">
        <w:rPr>
          <w:rFonts w:ascii="Times New Roman" w:hAnsi="Times New Roman" w:cs="Times New Roman"/>
          <w:b/>
          <w:sz w:val="24"/>
        </w:rPr>
        <w:t>Panamá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2E5675">
        <w:rPr>
          <w:rFonts w:ascii="Times New Roman" w:hAnsi="Times New Roman" w:cs="Times New Roman"/>
          <w:sz w:val="24"/>
        </w:rPr>
        <w:t>8</w:t>
      </w:r>
      <w:r w:rsidR="00E1026C">
        <w:rPr>
          <w:rFonts w:ascii="Times New Roman" w:hAnsi="Times New Roman" w:cs="Times New Roman"/>
          <w:sz w:val="24"/>
        </w:rPr>
        <w:t xml:space="preserve"> </w:t>
      </w:r>
      <w:r w:rsidRPr="00DF6A49">
        <w:rPr>
          <w:rFonts w:ascii="Times New Roman" w:hAnsi="Times New Roman" w:cs="Times New Roman"/>
          <w:sz w:val="24"/>
        </w:rPr>
        <w:t>millones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C74988" w:rsidP="00C74988">
      <w:pPr>
        <w:tabs>
          <w:tab w:val="left" w:pos="3353"/>
        </w:tabs>
      </w:pPr>
      <w:r>
        <w:tab/>
      </w:r>
    </w:p>
    <w:p w:rsidR="006A5690" w:rsidRDefault="006A5690" w:rsidP="00907DD6">
      <w:pPr>
        <w:jc w:val="right"/>
      </w:pPr>
    </w:p>
    <w:p w:rsidR="00790863" w:rsidRDefault="00790863" w:rsidP="00907DD6">
      <w:pPr>
        <w:jc w:val="right"/>
      </w:pPr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al 2021 </w:t>
      </w:r>
      <w:r w:rsidR="003375C6" w:rsidRPr="003375C6">
        <w:rPr>
          <w:rFonts w:ascii="Times New Roman" w:hAnsi="Times New Roman" w:cs="Times New Roman"/>
          <w:sz w:val="24"/>
          <w:szCs w:val="24"/>
          <w:lang w:val="es-PY"/>
        </w:rPr>
        <w:t xml:space="preserve">Panamá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ocupa el puesto N° </w:t>
      </w:r>
      <w:r w:rsidR="005E3B40">
        <w:rPr>
          <w:rFonts w:ascii="Times New Roman" w:hAnsi="Times New Roman" w:cs="Times New Roman"/>
          <w:sz w:val="24"/>
          <w:szCs w:val="24"/>
          <w:lang w:val="es-PY"/>
        </w:rPr>
        <w:t>18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en cuanto a origen de las inversiones directas en Pa</w:t>
      </w:r>
      <w:r w:rsidR="005E3B40">
        <w:rPr>
          <w:rFonts w:ascii="Times New Roman" w:hAnsi="Times New Roman" w:cs="Times New Roman"/>
          <w:sz w:val="24"/>
          <w:szCs w:val="24"/>
          <w:lang w:val="es-PY"/>
        </w:rPr>
        <w:t>raguay, con un valor de USD 103,92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millones.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D3" w:rsidRDefault="00D97ED3" w:rsidP="00BA0934">
      <w:pPr>
        <w:spacing w:after="0" w:line="240" w:lineRule="auto"/>
      </w:pPr>
      <w:r>
        <w:separator/>
      </w:r>
    </w:p>
  </w:endnote>
  <w:endnote w:type="continuationSeparator" w:id="0">
    <w:p w:rsidR="00D97ED3" w:rsidRDefault="00D97ED3" w:rsidP="00BA0934">
      <w:pPr>
        <w:spacing w:after="0" w:line="240" w:lineRule="auto"/>
      </w:pPr>
      <w:r>
        <w:continuationSeparator/>
      </w:r>
    </w:p>
  </w:endnote>
  <w:endnote w:type="continuationNotice" w:id="1">
    <w:p w:rsidR="00D97ED3" w:rsidRDefault="00D97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533BB4" w:rsidRDefault="00533BB4" w:rsidP="00533BB4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D3" w:rsidRDefault="00D97ED3" w:rsidP="00BA0934">
      <w:pPr>
        <w:spacing w:after="0" w:line="240" w:lineRule="auto"/>
      </w:pPr>
      <w:r>
        <w:separator/>
      </w:r>
    </w:p>
  </w:footnote>
  <w:footnote w:type="continuationSeparator" w:id="0">
    <w:p w:rsidR="00D97ED3" w:rsidRDefault="00D97ED3" w:rsidP="00BA0934">
      <w:pPr>
        <w:spacing w:after="0" w:line="240" w:lineRule="auto"/>
      </w:pPr>
      <w:r>
        <w:continuationSeparator/>
      </w:r>
    </w:p>
  </w:footnote>
  <w:footnote w:type="continuationNotice" w:id="1">
    <w:p w:rsidR="00D97ED3" w:rsidRDefault="00D97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0E02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2E2452"/>
    <w:rsid w:val="002E5675"/>
    <w:rsid w:val="003006B9"/>
    <w:rsid w:val="00312B46"/>
    <w:rsid w:val="00315700"/>
    <w:rsid w:val="00327E50"/>
    <w:rsid w:val="00334086"/>
    <w:rsid w:val="00335AF8"/>
    <w:rsid w:val="003375C6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33BB4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C4A96"/>
    <w:rsid w:val="005D037A"/>
    <w:rsid w:val="005D6A5A"/>
    <w:rsid w:val="005E3B40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1C35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E434D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38AB"/>
    <w:rsid w:val="00994F05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A7CEC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74988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97ED3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5B46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51C2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4B3A2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39.25</c:v>
                </c:pt>
                <c:pt idx="1">
                  <c:v>3.36</c:v>
                </c:pt>
                <c:pt idx="2">
                  <c:v>7.64</c:v>
                </c:pt>
                <c:pt idx="3">
                  <c:v>8.14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124.84</c:v>
                </c:pt>
                <c:pt idx="1">
                  <c:v>88.16</c:v>
                </c:pt>
                <c:pt idx="2">
                  <c:v>10.84</c:v>
                </c:pt>
                <c:pt idx="3">
                  <c:v>8.2200000000000006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-85.59</c:v>
                </c:pt>
                <c:pt idx="1">
                  <c:v>-84.8</c:v>
                </c:pt>
                <c:pt idx="2">
                  <c:v>-3.2</c:v>
                </c:pt>
                <c:pt idx="3">
                  <c:v>-8.0000000000000071E-2</c:v>
                </c:pt>
                <c:pt idx="4">
                  <c:v>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223117976"/>
        <c:axId val="223121504"/>
      </c:barChart>
      <c:catAx>
        <c:axId val="223117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223121504"/>
        <c:crosses val="autoZero"/>
        <c:auto val="1"/>
        <c:lblAlgn val="ctr"/>
        <c:lblOffset val="100"/>
        <c:noMultiLvlLbl val="0"/>
      </c:catAx>
      <c:valAx>
        <c:axId val="22312150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23117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9998913578742699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Partes y accesorios para máquinas</c:v>
                </c:pt>
                <c:pt idx="1">
                  <c:v>Jugo de naranja congelado</c:v>
                </c:pt>
                <c:pt idx="2">
                  <c:v>Instrumentos de medicina</c:v>
                </c:pt>
                <c:pt idx="3">
                  <c:v>Calzados</c:v>
                </c:pt>
                <c:pt idx="4">
                  <c:v>Medicamentos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52000</c:v>
                </c:pt>
                <c:pt idx="1">
                  <c:v>52328</c:v>
                </c:pt>
                <c:pt idx="2">
                  <c:v>77000</c:v>
                </c:pt>
                <c:pt idx="3">
                  <c:v>493279</c:v>
                </c:pt>
                <c:pt idx="4">
                  <c:v>4714962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23116800"/>
        <c:axId val="223117192"/>
      </c:barChart>
      <c:catAx>
        <c:axId val="223116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223117192"/>
        <c:crosses val="autoZero"/>
        <c:auto val="1"/>
        <c:lblAlgn val="ctr"/>
        <c:lblOffset val="100"/>
        <c:noMultiLvlLbl val="0"/>
      </c:catAx>
      <c:valAx>
        <c:axId val="22311719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2311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Hidroclorofluorocarburos (HCFC), incluso con perfluorocarburos (PFC) o hidrofluorocarburos (HFC)</c:v>
                </c:pt>
                <c:pt idx="1">
                  <c:v>Cámaras digitales y videocámaras</c:v>
                </c:pt>
                <c:pt idx="2">
                  <c:v>Aparatos receptores de televisión</c:v>
                </c:pt>
                <c:pt idx="3">
                  <c:v>Diisocianato de difenilmetano</c:v>
                </c:pt>
                <c:pt idx="4">
                  <c:v>Generadores de gas por vía húmeda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361441</c:v>
                </c:pt>
                <c:pt idx="1">
                  <c:v>363095</c:v>
                </c:pt>
                <c:pt idx="2">
                  <c:v>401222</c:v>
                </c:pt>
                <c:pt idx="3">
                  <c:v>800682</c:v>
                </c:pt>
                <c:pt idx="4">
                  <c:v>1322400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5578552"/>
        <c:axId val="145578944"/>
      </c:barChart>
      <c:catAx>
        <c:axId val="145578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145578944"/>
        <c:crosses val="autoZero"/>
        <c:auto val="1"/>
        <c:lblAlgn val="ctr"/>
        <c:lblOffset val="100"/>
        <c:noMultiLvlLbl val="0"/>
      </c:catAx>
      <c:valAx>
        <c:axId val="145578944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45578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32D4-FBDF-4324-A66B-209EEA12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88</cp:revision>
  <cp:lastPrinted>2023-04-14T12:46:00Z</cp:lastPrinted>
  <dcterms:created xsi:type="dcterms:W3CDTF">2023-04-25T15:26:00Z</dcterms:created>
  <dcterms:modified xsi:type="dcterms:W3CDTF">2023-06-19T20:28:00Z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