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FA" w:rsidRDefault="00AC04FA" w:rsidP="00AC04F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A1D6E" w:rsidRDefault="00AC04FA" w:rsidP="00AC04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AC04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1170FB">
        <w:rPr>
          <w:rFonts w:ascii="Times New Roman" w:hAnsi="Times New Roman" w:cs="Times New Roman"/>
          <w:b/>
          <w:sz w:val="28"/>
        </w:rPr>
        <w:t>Bolivia</w:t>
      </w:r>
    </w:p>
    <w:p w:rsidR="00AC04FA" w:rsidRPr="00111B86" w:rsidRDefault="00AC04FA" w:rsidP="00AC04F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1170FB" w:rsidRPr="001170FB">
        <w:rPr>
          <w:rFonts w:ascii="Times New Roman" w:hAnsi="Times New Roman" w:cs="Times New Roman"/>
          <w:sz w:val="24"/>
        </w:rPr>
        <w:t xml:space="preserve">Bolivia </w:t>
      </w:r>
      <w:r>
        <w:rPr>
          <w:rFonts w:ascii="Times New Roman" w:hAnsi="Times New Roman" w:cs="Times New Roman"/>
          <w:sz w:val="24"/>
        </w:rPr>
        <w:t xml:space="preserve">ha dejado un saldo </w:t>
      </w:r>
      <w:r w:rsidR="001170FB">
        <w:rPr>
          <w:rFonts w:ascii="Times New Roman" w:hAnsi="Times New Roman" w:cs="Times New Roman"/>
          <w:sz w:val="24"/>
        </w:rPr>
        <w:t>fluctuante</w:t>
      </w:r>
      <w:r w:rsidR="000919C5">
        <w:rPr>
          <w:rFonts w:ascii="Times New Roman" w:hAnsi="Times New Roman" w:cs="Times New Roman"/>
          <w:sz w:val="24"/>
        </w:rPr>
        <w:t xml:space="preserve"> </w:t>
      </w:r>
      <w:r w:rsidR="001170FB">
        <w:rPr>
          <w:rFonts w:ascii="Times New Roman" w:hAnsi="Times New Roman" w:cs="Times New Roman"/>
          <w:sz w:val="24"/>
        </w:rPr>
        <w:t>con</w:t>
      </w:r>
      <w:r w:rsidR="000919C5">
        <w:rPr>
          <w:rFonts w:ascii="Times New Roman" w:hAnsi="Times New Roman" w:cs="Times New Roman"/>
          <w:sz w:val="24"/>
        </w:rPr>
        <w:t xml:space="preserve">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1170FB" w:rsidRPr="001170FB">
        <w:rPr>
          <w:rFonts w:ascii="Times New Roman" w:hAnsi="Times New Roman" w:cs="Times New Roman"/>
          <w:sz w:val="24"/>
        </w:rPr>
        <w:t xml:space="preserve">Bolivia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C246A6">
        <w:rPr>
          <w:rFonts w:ascii="Times New Roman" w:hAnsi="Times New Roman" w:cs="Times New Roman"/>
          <w:b/>
          <w:sz w:val="24"/>
          <w:szCs w:val="24"/>
          <w:lang w:val="es-PY"/>
        </w:rPr>
        <w:t>70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C246A6">
        <w:rPr>
          <w:rFonts w:ascii="Times New Roman" w:hAnsi="Times New Roman" w:cs="Times New Roman"/>
          <w:sz w:val="24"/>
          <w:szCs w:val="24"/>
          <w:lang w:val="es-PY"/>
        </w:rPr>
        <w:t>54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C246A6">
        <w:rPr>
          <w:rFonts w:ascii="Times New Roman" w:hAnsi="Times New Roman" w:cs="Times New Roman"/>
          <w:sz w:val="24"/>
          <w:szCs w:val="24"/>
          <w:lang w:val="es-PY"/>
        </w:rPr>
        <w:t>92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1170FB" w:rsidRPr="001170FB">
        <w:rPr>
          <w:rFonts w:ascii="Times New Roman" w:hAnsi="Times New Roman" w:cs="Times New Roman"/>
          <w:sz w:val="24"/>
        </w:rPr>
        <w:t xml:space="preserve">Bolivia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C246A6">
        <w:rPr>
          <w:rFonts w:ascii="Times New Roman" w:hAnsi="Times New Roman" w:cs="Times New Roman"/>
          <w:b/>
          <w:sz w:val="24"/>
          <w:szCs w:val="24"/>
          <w:lang w:val="es-PY"/>
        </w:rPr>
        <w:t>40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C246A6">
        <w:rPr>
          <w:rFonts w:ascii="Times New Roman" w:hAnsi="Times New Roman" w:cs="Times New Roman"/>
          <w:sz w:val="24"/>
          <w:szCs w:val="24"/>
          <w:lang w:val="es-PY"/>
        </w:rPr>
        <w:t>47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C246A6">
        <w:rPr>
          <w:rFonts w:ascii="Times New Roman" w:hAnsi="Times New Roman" w:cs="Times New Roman"/>
          <w:sz w:val="24"/>
          <w:szCs w:val="24"/>
          <w:lang w:val="es-PY"/>
        </w:rPr>
        <w:t>66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506B65" w:rsidRDefault="00506B65" w:rsidP="00FE0A28"/>
    <w:p w:rsidR="002A1D6E" w:rsidRDefault="002A1D6E" w:rsidP="00FE0A28"/>
    <w:p w:rsidR="00DF6A49" w:rsidRDefault="00FE0A28" w:rsidP="001170FB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1170FB" w:rsidRPr="001170FB">
        <w:rPr>
          <w:rFonts w:ascii="Times New Roman" w:hAnsi="Times New Roman" w:cs="Times New Roman"/>
          <w:b/>
          <w:sz w:val="24"/>
        </w:rPr>
        <w:t>Bolivia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C246A6">
        <w:rPr>
          <w:rFonts w:ascii="Times New Roman" w:hAnsi="Times New Roman" w:cs="Times New Roman"/>
          <w:sz w:val="24"/>
        </w:rPr>
        <w:t>92</w:t>
      </w:r>
      <w:r w:rsidR="00E57039" w:rsidRPr="00DF6A49">
        <w:rPr>
          <w:rFonts w:ascii="Times New Roman" w:hAnsi="Times New Roman" w:cs="Times New Roman"/>
          <w:sz w:val="24"/>
        </w:rPr>
        <w:t xml:space="preserve"> millones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AC04FA" w:rsidRDefault="006A5690" w:rsidP="00AC04FA">
      <w:pPr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1170FB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1170FB" w:rsidRPr="001170FB">
        <w:rPr>
          <w:rFonts w:ascii="Times New Roman" w:hAnsi="Times New Roman" w:cs="Times New Roman"/>
          <w:b/>
          <w:sz w:val="24"/>
        </w:rPr>
        <w:t>Bolivia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C246A6">
        <w:rPr>
          <w:rFonts w:ascii="Times New Roman" w:hAnsi="Times New Roman" w:cs="Times New Roman"/>
          <w:sz w:val="24"/>
        </w:rPr>
        <w:t>66</w:t>
      </w:r>
      <w:r w:rsidR="00E1026C">
        <w:rPr>
          <w:rFonts w:ascii="Times New Roman" w:hAnsi="Times New Roman" w:cs="Times New Roman"/>
          <w:sz w:val="24"/>
        </w:rPr>
        <w:t xml:space="preserve"> </w:t>
      </w:r>
      <w:r w:rsidRPr="00DF6A49">
        <w:rPr>
          <w:rFonts w:ascii="Times New Roman" w:hAnsi="Times New Roman" w:cs="Times New Roman"/>
          <w:sz w:val="24"/>
        </w:rPr>
        <w:t>millones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6A5690" w:rsidRDefault="006A5690" w:rsidP="00AC04FA">
      <w:bookmarkStart w:id="0" w:name="_GoBack"/>
      <w:bookmarkEnd w:id="0"/>
    </w:p>
    <w:p w:rsidR="00790863" w:rsidRDefault="00790863" w:rsidP="00907DD6">
      <w:pPr>
        <w:jc w:val="right"/>
      </w:pPr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al 2021 </w:t>
      </w:r>
      <w:r w:rsidR="001170FB" w:rsidRPr="001170FB">
        <w:rPr>
          <w:rFonts w:ascii="Times New Roman" w:hAnsi="Times New Roman" w:cs="Times New Roman"/>
          <w:sz w:val="24"/>
          <w:szCs w:val="24"/>
          <w:lang w:val="es-PY"/>
        </w:rPr>
        <w:t xml:space="preserve">Bolivia </w:t>
      </w:r>
      <w:r w:rsidR="001170FB">
        <w:rPr>
          <w:rFonts w:ascii="Times New Roman" w:hAnsi="Times New Roman" w:cs="Times New Roman"/>
          <w:sz w:val="24"/>
          <w:szCs w:val="24"/>
          <w:lang w:val="es-PY"/>
        </w:rPr>
        <w:t>ocupa el puesto N° 34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en cuanto a origen de las inversiones directas en Pa</w:t>
      </w:r>
      <w:r w:rsidR="001170FB">
        <w:rPr>
          <w:rFonts w:ascii="Times New Roman" w:hAnsi="Times New Roman" w:cs="Times New Roman"/>
          <w:sz w:val="24"/>
          <w:szCs w:val="24"/>
          <w:lang w:val="es-PY"/>
        </w:rPr>
        <w:t>raguay, con un valor de USD 4,94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millones.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0B" w:rsidRDefault="002F650B" w:rsidP="00BA0934">
      <w:pPr>
        <w:spacing w:after="0" w:line="240" w:lineRule="auto"/>
      </w:pPr>
      <w:r>
        <w:separator/>
      </w:r>
    </w:p>
  </w:endnote>
  <w:endnote w:type="continuationSeparator" w:id="0">
    <w:p w:rsidR="002F650B" w:rsidRDefault="002F650B" w:rsidP="00BA0934">
      <w:pPr>
        <w:spacing w:after="0" w:line="240" w:lineRule="auto"/>
      </w:pPr>
      <w:r>
        <w:continuationSeparator/>
      </w:r>
    </w:p>
  </w:endnote>
  <w:endnote w:type="continuationNotice" w:id="1">
    <w:p w:rsidR="002F650B" w:rsidRDefault="002F6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AC04FA" w:rsidRDefault="00AC04FA" w:rsidP="00AC04FA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0B" w:rsidRDefault="002F650B" w:rsidP="00BA0934">
      <w:pPr>
        <w:spacing w:after="0" w:line="240" w:lineRule="auto"/>
      </w:pPr>
      <w:r>
        <w:separator/>
      </w:r>
    </w:p>
  </w:footnote>
  <w:footnote w:type="continuationSeparator" w:id="0">
    <w:p w:rsidR="002F650B" w:rsidRDefault="002F650B" w:rsidP="00BA0934">
      <w:pPr>
        <w:spacing w:after="0" w:line="240" w:lineRule="auto"/>
      </w:pPr>
      <w:r>
        <w:continuationSeparator/>
      </w:r>
    </w:p>
  </w:footnote>
  <w:footnote w:type="continuationNotice" w:id="1">
    <w:p w:rsidR="002F650B" w:rsidRDefault="002F6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0D64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170FB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0E02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2F650B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475A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90972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94F05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04F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246A6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51C2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C53AB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54.51</c:v>
                </c:pt>
                <c:pt idx="1">
                  <c:v>50.7</c:v>
                </c:pt>
                <c:pt idx="2">
                  <c:v>46.99</c:v>
                </c:pt>
                <c:pt idx="3">
                  <c:v>58.44</c:v>
                </c:pt>
                <c:pt idx="4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47.99</c:v>
                </c:pt>
                <c:pt idx="1">
                  <c:v>55.73</c:v>
                </c:pt>
                <c:pt idx="2">
                  <c:v>34.090000000000003</c:v>
                </c:pt>
                <c:pt idx="3">
                  <c:v>60.58</c:v>
                </c:pt>
                <c:pt idx="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6.519999999999996</c:v>
                </c:pt>
                <c:pt idx="1">
                  <c:v>-5.029999999999994</c:v>
                </c:pt>
                <c:pt idx="2">
                  <c:v>12.899999999999999</c:v>
                </c:pt>
                <c:pt idx="3">
                  <c:v>-2.1400000000000006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375420336"/>
        <c:axId val="375421904"/>
      </c:barChart>
      <c:catAx>
        <c:axId val="37542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5421904"/>
        <c:crosses val="autoZero"/>
        <c:auto val="1"/>
        <c:lblAlgn val="ctr"/>
        <c:lblOffset val="100"/>
        <c:noMultiLvlLbl val="0"/>
      </c:catAx>
      <c:valAx>
        <c:axId val="37542190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7542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2004071541347465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Fungicidas</c:v>
                </c:pt>
                <c:pt idx="1">
                  <c:v>Envases de aluminio</c:v>
                </c:pt>
                <c:pt idx="2">
                  <c:v>Tapones y tapas de metal </c:v>
                </c:pt>
                <c:pt idx="3">
                  <c:v>Chía</c:v>
                </c:pt>
                <c:pt idx="4">
                  <c:v>Gasoil</c:v>
                </c:pt>
                <c:pt idx="5">
                  <c:v>Herbicidas</c:v>
                </c:pt>
              </c:strCache>
            </c:strRef>
          </c:cat>
          <c:val>
            <c:numRef>
              <c:f>Hoja1!$B$2:$B$7</c:f>
              <c:numCache>
                <c:formatCode>#,##0</c:formatCode>
                <c:ptCount val="6"/>
                <c:pt idx="0">
                  <c:v>3983450</c:v>
                </c:pt>
                <c:pt idx="1">
                  <c:v>4281892</c:v>
                </c:pt>
                <c:pt idx="2">
                  <c:v>4962516</c:v>
                </c:pt>
                <c:pt idx="3">
                  <c:v>6078318</c:v>
                </c:pt>
                <c:pt idx="4">
                  <c:v>7672597</c:v>
                </c:pt>
                <c:pt idx="5">
                  <c:v>7911619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7584280"/>
        <c:axId val="247578008"/>
      </c:barChart>
      <c:catAx>
        <c:axId val="247584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7578008"/>
        <c:crosses val="autoZero"/>
        <c:auto val="1"/>
        <c:lblAlgn val="ctr"/>
        <c:lblOffset val="100"/>
        <c:noMultiLvlLbl val="0"/>
      </c:catAx>
      <c:valAx>
        <c:axId val="247578008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47584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Preparaciones para la venta  al por menor</c:v>
                </c:pt>
                <c:pt idx="1">
                  <c:v>Productos de origen animal </c:v>
                </c:pt>
                <c:pt idx="2">
                  <c:v>Aparatos eléctricos</c:v>
                </c:pt>
                <c:pt idx="3">
                  <c:v>Porotos de soja</c:v>
                </c:pt>
                <c:pt idx="4">
                  <c:v>Gas licuado de petróleo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1282256</c:v>
                </c:pt>
                <c:pt idx="1">
                  <c:v>1751452</c:v>
                </c:pt>
                <c:pt idx="2">
                  <c:v>3477317</c:v>
                </c:pt>
                <c:pt idx="3">
                  <c:v>12796175</c:v>
                </c:pt>
                <c:pt idx="4">
                  <c:v>32625134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9318680"/>
        <c:axId val="169319072"/>
      </c:barChart>
      <c:catAx>
        <c:axId val="169318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9319072"/>
        <c:crosses val="autoZero"/>
        <c:auto val="1"/>
        <c:lblAlgn val="ctr"/>
        <c:lblOffset val="100"/>
        <c:noMultiLvlLbl val="0"/>
      </c:catAx>
      <c:valAx>
        <c:axId val="16931907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6931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1228-0B04-40A2-91C0-F167CFA1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87</cp:revision>
  <cp:lastPrinted>2023-04-14T12:46:00Z</cp:lastPrinted>
  <dcterms:created xsi:type="dcterms:W3CDTF">2023-04-25T15:26:00Z</dcterms:created>
  <dcterms:modified xsi:type="dcterms:W3CDTF">2023-06-20T19:26:00Z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