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28" w:rsidRDefault="001E2F28" w:rsidP="001E2F28">
      <w:pPr>
        <w:spacing w:after="0"/>
        <w:rPr>
          <w:rFonts w:ascii="Times New Roman" w:hAnsi="Times New Roman" w:cs="Times New Roman"/>
          <w:b/>
          <w:sz w:val="28"/>
        </w:rPr>
      </w:pPr>
    </w:p>
    <w:p w:rsidR="002A1D6E" w:rsidRDefault="001E2F28" w:rsidP="001E2F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1E2F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9938AB">
        <w:rPr>
          <w:rFonts w:ascii="Times New Roman" w:hAnsi="Times New Roman" w:cs="Times New Roman"/>
          <w:b/>
          <w:sz w:val="28"/>
        </w:rPr>
        <w:t>Israel</w:t>
      </w:r>
      <w:r w:rsidR="00DE64FE">
        <w:rPr>
          <w:rFonts w:ascii="Times New Roman" w:hAnsi="Times New Roman" w:cs="Times New Roman"/>
          <w:b/>
          <w:sz w:val="28"/>
        </w:rPr>
        <w:t xml:space="preserve"> </w:t>
      </w:r>
    </w:p>
    <w:p w:rsidR="001E2F28" w:rsidRPr="00111B86" w:rsidRDefault="001E2F28" w:rsidP="001E2F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D3036C">
        <w:rPr>
          <w:rFonts w:ascii="Times New Roman" w:hAnsi="Times New Roman" w:cs="Times New Roman"/>
          <w:sz w:val="24"/>
        </w:rPr>
        <w:t>Israel</w:t>
      </w:r>
      <w:r>
        <w:rPr>
          <w:rFonts w:ascii="Times New Roman" w:hAnsi="Times New Roman" w:cs="Times New Roman"/>
          <w:sz w:val="24"/>
        </w:rPr>
        <w:t xml:space="preserve"> ha dejado un saldo </w:t>
      </w:r>
      <w:r w:rsidR="00DE64FE">
        <w:rPr>
          <w:rFonts w:ascii="Times New Roman" w:hAnsi="Times New Roman" w:cs="Times New Roman"/>
          <w:sz w:val="24"/>
        </w:rPr>
        <w:t>positivo</w:t>
      </w:r>
      <w:r w:rsidR="000919C5">
        <w:rPr>
          <w:rFonts w:ascii="Times New Roman" w:hAnsi="Times New Roman" w:cs="Times New Roman"/>
          <w:sz w:val="24"/>
        </w:rPr>
        <w:t xml:space="preserve"> para el Paraguay</w:t>
      </w:r>
      <w:r>
        <w:rPr>
          <w:rFonts w:ascii="Times New Roman" w:hAnsi="Times New Roman" w:cs="Times New Roman"/>
          <w:sz w:val="24"/>
        </w:rPr>
        <w:t xml:space="preserve">. 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D3036C">
        <w:rPr>
          <w:rFonts w:ascii="Times New Roman" w:hAnsi="Times New Roman" w:cs="Times New Roman"/>
          <w:sz w:val="24"/>
        </w:rPr>
        <w:t>Israel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 xml:space="preserve"> crecieron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D3036C">
        <w:rPr>
          <w:rFonts w:ascii="Times New Roman" w:hAnsi="Times New Roman" w:cs="Times New Roman"/>
          <w:b/>
          <w:sz w:val="24"/>
          <w:szCs w:val="24"/>
          <w:lang w:val="es-PY"/>
        </w:rPr>
        <w:t>41</w:t>
      </w:r>
      <w:r w:rsidR="00DE64FE" w:rsidRPr="0043148B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D3036C">
        <w:rPr>
          <w:rFonts w:ascii="Times New Roman" w:hAnsi="Times New Roman" w:cs="Times New Roman"/>
          <w:sz w:val="24"/>
          <w:szCs w:val="24"/>
          <w:lang w:val="es-PY"/>
        </w:rPr>
        <w:t>101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D3036C">
        <w:rPr>
          <w:rFonts w:ascii="Times New Roman" w:hAnsi="Times New Roman" w:cs="Times New Roman"/>
          <w:sz w:val="24"/>
          <w:szCs w:val="24"/>
          <w:lang w:val="es-PY"/>
        </w:rPr>
        <w:t>143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B519A8">
        <w:rPr>
          <w:rFonts w:ascii="Times New Roman" w:hAnsi="Times New Roman" w:cs="Times New Roman"/>
          <w:sz w:val="24"/>
          <w:szCs w:val="24"/>
          <w:lang w:val="es-PY"/>
        </w:rPr>
        <w:t>Israel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crecieron un </w:t>
      </w:r>
      <w:r w:rsidR="00B519A8">
        <w:rPr>
          <w:rFonts w:ascii="Times New Roman" w:hAnsi="Times New Roman" w:cs="Times New Roman"/>
          <w:b/>
          <w:sz w:val="24"/>
          <w:szCs w:val="24"/>
          <w:lang w:val="es-PY"/>
        </w:rPr>
        <w:t>49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B519A8">
        <w:rPr>
          <w:rFonts w:ascii="Times New Roman" w:hAnsi="Times New Roman" w:cs="Times New Roman"/>
          <w:sz w:val="24"/>
          <w:szCs w:val="24"/>
          <w:lang w:val="es-PY"/>
        </w:rPr>
        <w:t>16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B519A8">
        <w:rPr>
          <w:rFonts w:ascii="Times New Roman" w:hAnsi="Times New Roman" w:cs="Times New Roman"/>
          <w:sz w:val="24"/>
          <w:szCs w:val="24"/>
          <w:lang w:val="es-PY"/>
        </w:rPr>
        <w:t>24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millones en el 2022</w:t>
      </w:r>
    </w:p>
    <w:p w:rsidR="00467AE4" w:rsidRPr="0043148B" w:rsidRDefault="00467AE4" w:rsidP="00467AE4">
      <w:pPr>
        <w:pStyle w:val="Prrafodelista"/>
        <w:spacing w:after="240" w:line="240" w:lineRule="auto"/>
        <w:ind w:left="714" w:firstLine="7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>En los últimos 5 años, la carne bovina</w:t>
      </w:r>
      <w:r w:rsidR="00442E97">
        <w:rPr>
          <w:rFonts w:ascii="Times New Roman" w:hAnsi="Times New Roman" w:cs="Times New Roman"/>
          <w:sz w:val="24"/>
          <w:szCs w:val="24"/>
          <w:lang w:val="es-PY"/>
        </w:rPr>
        <w:t xml:space="preserve"> congelada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representó el </w:t>
      </w:r>
      <w:r w:rsidR="00442E97">
        <w:rPr>
          <w:rFonts w:ascii="Times New Roman" w:hAnsi="Times New Roman" w:cs="Times New Roman"/>
          <w:b/>
          <w:sz w:val="24"/>
          <w:szCs w:val="24"/>
          <w:lang w:val="es-PY"/>
        </w:rPr>
        <w:t>67</w:t>
      </w:r>
      <w:r w:rsidRPr="00467AE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</w:t>
      </w:r>
      <w:r w:rsidR="00C15A46">
        <w:rPr>
          <w:rFonts w:ascii="Times New Roman" w:hAnsi="Times New Roman" w:cs="Times New Roman"/>
          <w:sz w:val="24"/>
          <w:szCs w:val="24"/>
          <w:lang w:val="es-PY"/>
        </w:rPr>
        <w:t>e las exportaciones a Israel. En el 2022, este mercado</w:t>
      </w:r>
      <w:r w:rsidR="00442E97">
        <w:rPr>
          <w:rFonts w:ascii="Times New Roman" w:hAnsi="Times New Roman" w:cs="Times New Roman"/>
          <w:sz w:val="24"/>
          <w:szCs w:val="24"/>
          <w:lang w:val="es-PY"/>
        </w:rPr>
        <w:t xml:space="preserve"> se posicionó como el </w:t>
      </w:r>
      <w:r w:rsidR="00460EEE" w:rsidRPr="00460EEE">
        <w:rPr>
          <w:rFonts w:ascii="Times New Roman" w:hAnsi="Times New Roman" w:cs="Times New Roman"/>
          <w:b/>
          <w:sz w:val="24"/>
          <w:szCs w:val="24"/>
          <w:lang w:val="es-PY"/>
        </w:rPr>
        <w:t>5°</w:t>
      </w:r>
      <w:r w:rsidR="00460EEE">
        <w:rPr>
          <w:rFonts w:ascii="Times New Roman" w:hAnsi="Times New Roman" w:cs="Times New Roman"/>
          <w:sz w:val="24"/>
          <w:szCs w:val="24"/>
          <w:lang w:val="es-PY"/>
        </w:rPr>
        <w:t xml:space="preserve"> destino de las exportaciones de carne </w:t>
      </w:r>
      <w:r w:rsidR="00380953">
        <w:rPr>
          <w:rFonts w:ascii="Times New Roman" w:hAnsi="Times New Roman" w:cs="Times New Roman"/>
          <w:sz w:val="24"/>
          <w:szCs w:val="24"/>
          <w:lang w:val="es-PY"/>
        </w:rPr>
        <w:t xml:space="preserve">bovina </w:t>
      </w:r>
      <w:r w:rsidR="00460EEE">
        <w:rPr>
          <w:rFonts w:ascii="Times New Roman" w:hAnsi="Times New Roman" w:cs="Times New Roman"/>
          <w:sz w:val="24"/>
          <w:szCs w:val="24"/>
          <w:lang w:val="es-PY"/>
        </w:rPr>
        <w:t xml:space="preserve">del Paraguay. </w:t>
      </w:r>
      <w:r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1E2F28" w:rsidP="001E2F28">
      <w:pPr>
        <w:tabs>
          <w:tab w:val="left" w:pos="6240"/>
        </w:tabs>
      </w:pPr>
      <w:r>
        <w:tab/>
      </w:r>
    </w:p>
    <w:p w:rsidR="00506B65" w:rsidRDefault="00506B65" w:rsidP="00FE0A28"/>
    <w:p w:rsidR="002A1D6E" w:rsidRDefault="002A1D6E" w:rsidP="00FE0A28"/>
    <w:p w:rsidR="00DF6A49" w:rsidRDefault="00FE0A28" w:rsidP="00E5703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55038B">
        <w:rPr>
          <w:rFonts w:ascii="Times New Roman" w:hAnsi="Times New Roman" w:cs="Times New Roman"/>
          <w:b/>
          <w:sz w:val="24"/>
        </w:rPr>
        <w:t>Israel</w:t>
      </w:r>
      <w:r w:rsidRPr="00E75A7B">
        <w:rPr>
          <w:rFonts w:ascii="Times New Roman" w:hAnsi="Times New Roman" w:cs="Times New Roman"/>
          <w:b/>
          <w:sz w:val="24"/>
        </w:rPr>
        <w:t xml:space="preserve"> 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0E6262">
        <w:rPr>
          <w:rFonts w:ascii="Times New Roman" w:hAnsi="Times New Roman" w:cs="Times New Roman"/>
          <w:sz w:val="24"/>
        </w:rPr>
        <w:t>143</w:t>
      </w:r>
      <w:r w:rsidR="00E57039" w:rsidRPr="00DF6A49">
        <w:rPr>
          <w:rFonts w:ascii="Times New Roman" w:hAnsi="Times New Roman" w:cs="Times New Roman"/>
          <w:sz w:val="24"/>
        </w:rPr>
        <w:t xml:space="preserve"> millones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1E2F28">
      <w:pPr>
        <w:jc w:val="both"/>
        <w:rPr>
          <w:rFonts w:ascii="Times New Roman" w:hAnsi="Times New Roman" w:cs="Times New Roman"/>
          <w:sz w:val="24"/>
        </w:rPr>
      </w:pPr>
    </w:p>
    <w:p w:rsidR="001E2F28" w:rsidRPr="001E2F28" w:rsidRDefault="001E2F28" w:rsidP="001E2F28">
      <w:pPr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6A569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0E6262">
        <w:rPr>
          <w:rFonts w:ascii="Times New Roman" w:hAnsi="Times New Roman" w:cs="Times New Roman"/>
          <w:b/>
          <w:sz w:val="24"/>
        </w:rPr>
        <w:t>Israel</w:t>
      </w:r>
      <w:r w:rsidRPr="00B87CAB">
        <w:rPr>
          <w:rFonts w:ascii="Times New Roman" w:hAnsi="Times New Roman" w:cs="Times New Roman"/>
          <w:b/>
          <w:sz w:val="24"/>
        </w:rPr>
        <w:t xml:space="preserve"> 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2A4268">
        <w:rPr>
          <w:rFonts w:ascii="Times New Roman" w:hAnsi="Times New Roman" w:cs="Times New Roman"/>
          <w:sz w:val="24"/>
        </w:rPr>
        <w:t>24</w:t>
      </w:r>
      <w:r w:rsidRPr="00DF6A49">
        <w:rPr>
          <w:rFonts w:ascii="Times New Roman" w:hAnsi="Times New Roman" w:cs="Times New Roman"/>
          <w:sz w:val="24"/>
        </w:rPr>
        <w:t xml:space="preserve"> millones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790863" w:rsidRDefault="00790863" w:rsidP="00907DD6">
      <w:pPr>
        <w:jc w:val="right"/>
      </w:pPr>
      <w:bookmarkStart w:id="0" w:name="_GoBack"/>
      <w:bookmarkEnd w:id="0"/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5D037A" w:rsidRDefault="005D037A" w:rsidP="004051B5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Conforme datos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 xml:space="preserve">del último informe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>del BCP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>,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 al 2021,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 xml:space="preserve">no se registran inversiones directas de Israel en nuestro país.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2A1D6E" w:rsidRDefault="002A1D6E" w:rsidP="005D037A">
      <w:pPr>
        <w:pStyle w:val="Prrafodelista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:rsidR="00790863" w:rsidRDefault="00790863" w:rsidP="005D037A">
      <w:pPr>
        <w:pStyle w:val="Prrafodelista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:rsidR="00380953" w:rsidRDefault="00380953" w:rsidP="00380953">
      <w:pPr>
        <w:pStyle w:val="Prrafodelista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</w:p>
    <w:p w:rsidR="002A1D6E" w:rsidRDefault="00704B4B" w:rsidP="002A1D6E">
      <w:pPr>
        <w:pStyle w:val="Prrafodelista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lastRenderedPageBreak/>
        <w:t xml:space="preserve">Comparativo del intercambio comercial con </w:t>
      </w:r>
      <w:r w:rsidR="003546D6">
        <w:rPr>
          <w:rFonts w:ascii="Times New Roman" w:hAnsi="Times New Roman" w:cs="Times New Roman"/>
          <w:b/>
          <w:sz w:val="24"/>
          <w:szCs w:val="24"/>
          <w:lang w:val="es-PY"/>
        </w:rPr>
        <w:t>Israel</w:t>
      </w:r>
      <w:r>
        <w:rPr>
          <w:rFonts w:ascii="Times New Roman" w:hAnsi="Times New Roman" w:cs="Times New Roman"/>
          <w:b/>
          <w:sz w:val="24"/>
          <w:szCs w:val="24"/>
          <w:lang w:val="es-PY"/>
        </w:rPr>
        <w:t xml:space="preserve"> 2022-2023</w:t>
      </w:r>
    </w:p>
    <w:p w:rsidR="008E78B1" w:rsidRDefault="008E78B1" w:rsidP="002A1D6E">
      <w:pPr>
        <w:pStyle w:val="Prrafodelista"/>
        <w:spacing w:after="24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:rsidR="003E3E6D" w:rsidRDefault="00A31CB5" w:rsidP="003E3E6D">
      <w:pPr>
        <w:pStyle w:val="Prrafodelista"/>
        <w:spacing w:after="24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>La</w:t>
      </w:r>
      <w:r w:rsidR="002669BC">
        <w:rPr>
          <w:rFonts w:ascii="Times New Roman" w:hAnsi="Times New Roman" w:cs="Times New Roman"/>
          <w:sz w:val="24"/>
          <w:szCs w:val="24"/>
          <w:lang w:val="es-PY"/>
        </w:rPr>
        <w:t>s exportaciones registradas d</w:t>
      </w:r>
      <w:r w:rsidR="00845884">
        <w:rPr>
          <w:rFonts w:ascii="Times New Roman" w:hAnsi="Times New Roman" w:cs="Times New Roman"/>
          <w:sz w:val="24"/>
          <w:szCs w:val="24"/>
          <w:lang w:val="es-PY"/>
        </w:rPr>
        <w:t xml:space="preserve">esde enero hasta abril del 2023 </w:t>
      </w:r>
      <w:r w:rsidR="002A1D6E">
        <w:rPr>
          <w:rFonts w:ascii="Times New Roman" w:hAnsi="Times New Roman" w:cs="Times New Roman"/>
          <w:sz w:val="24"/>
          <w:szCs w:val="24"/>
          <w:lang w:val="es-PY"/>
        </w:rPr>
        <w:t xml:space="preserve">disminuyeron un </w:t>
      </w:r>
      <w:r w:rsidR="00845884">
        <w:rPr>
          <w:rFonts w:ascii="Times New Roman" w:hAnsi="Times New Roman" w:cs="Times New Roman"/>
          <w:b/>
          <w:sz w:val="24"/>
          <w:szCs w:val="24"/>
          <w:lang w:val="es-PY"/>
        </w:rPr>
        <w:t>75</w:t>
      </w:r>
      <w:r w:rsidR="002A1D6E" w:rsidRPr="00790863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2669BC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2669BC">
        <w:rPr>
          <w:rFonts w:ascii="Times New Roman" w:hAnsi="Times New Roman" w:cs="Times New Roman"/>
          <w:sz w:val="24"/>
          <w:szCs w:val="24"/>
          <w:lang w:val="es-PY"/>
        </w:rPr>
        <w:t>en comparación con el mismo periodo del año 2022. Esto se explica</w:t>
      </w:r>
      <w:r w:rsidR="002A1D6E">
        <w:rPr>
          <w:rFonts w:ascii="Times New Roman" w:hAnsi="Times New Roman" w:cs="Times New Roman"/>
          <w:sz w:val="24"/>
          <w:szCs w:val="24"/>
          <w:lang w:val="es-PY"/>
        </w:rPr>
        <w:t xml:space="preserve"> principalmente por la disminución </w:t>
      </w:r>
      <w:r w:rsidR="002669BC">
        <w:rPr>
          <w:rFonts w:ascii="Times New Roman" w:hAnsi="Times New Roman" w:cs="Times New Roman"/>
          <w:sz w:val="24"/>
          <w:szCs w:val="24"/>
          <w:lang w:val="es-PY"/>
        </w:rPr>
        <w:t xml:space="preserve">de </w:t>
      </w:r>
      <w:r w:rsidR="002A1D6E">
        <w:rPr>
          <w:rFonts w:ascii="Times New Roman" w:hAnsi="Times New Roman" w:cs="Times New Roman"/>
          <w:sz w:val="24"/>
          <w:szCs w:val="24"/>
          <w:lang w:val="es-PY"/>
        </w:rPr>
        <w:t xml:space="preserve">exportaciones de carne bovina congelada. </w:t>
      </w:r>
    </w:p>
    <w:p w:rsidR="003E3E6D" w:rsidRPr="003E3E6D" w:rsidRDefault="003E3E6D" w:rsidP="003E3E6D">
      <w:pPr>
        <w:pStyle w:val="Prrafodelista"/>
        <w:spacing w:after="24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:rsidR="003E3E6D" w:rsidRPr="003E3E6D" w:rsidRDefault="003E3E6D" w:rsidP="003E3E6D">
      <w:pPr>
        <w:pStyle w:val="Prrafodelista"/>
        <w:numPr>
          <w:ilvl w:val="3"/>
          <w:numId w:val="14"/>
        </w:numPr>
        <w:spacing w:after="240" w:line="24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3E3E6D">
        <w:rPr>
          <w:rFonts w:ascii="Times New Roman" w:hAnsi="Times New Roman" w:cs="Times New Roman"/>
          <w:b/>
          <w:sz w:val="24"/>
          <w:szCs w:val="24"/>
          <w:lang w:val="es-PY"/>
        </w:rPr>
        <w:t>Exportaciones a Israel</w:t>
      </w:r>
      <w:r>
        <w:rPr>
          <w:rFonts w:ascii="Times New Roman" w:hAnsi="Times New Roman" w:cs="Times New Roman"/>
          <w:b/>
          <w:sz w:val="24"/>
          <w:szCs w:val="24"/>
          <w:lang w:val="es-PY"/>
        </w:rPr>
        <w:t>:</w:t>
      </w:r>
    </w:p>
    <w:p w:rsidR="003E3E6D" w:rsidRDefault="003E3E6D" w:rsidP="003E3E6D">
      <w:pPr>
        <w:pStyle w:val="Prrafodelista"/>
        <w:numPr>
          <w:ilvl w:val="1"/>
          <w:numId w:val="1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3E3E6D">
        <w:rPr>
          <w:rFonts w:ascii="Times New Roman" w:hAnsi="Times New Roman" w:cs="Times New Roman"/>
          <w:sz w:val="24"/>
          <w:szCs w:val="24"/>
          <w:lang w:val="es-PY"/>
        </w:rPr>
        <w:t>Enero-abril 2022: USD 74 millones</w:t>
      </w:r>
    </w:p>
    <w:p w:rsidR="003E3E6D" w:rsidRPr="003E3E6D" w:rsidRDefault="003E3E6D" w:rsidP="003E3E6D">
      <w:pPr>
        <w:pStyle w:val="Prrafodelista"/>
        <w:numPr>
          <w:ilvl w:val="1"/>
          <w:numId w:val="1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8255</wp:posOffset>
            </wp:positionV>
            <wp:extent cx="5399405" cy="6038850"/>
            <wp:effectExtent l="0" t="0" r="0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Pr="003E3E6D">
        <w:rPr>
          <w:rFonts w:ascii="Times New Roman" w:hAnsi="Times New Roman" w:cs="Times New Roman"/>
          <w:sz w:val="24"/>
          <w:szCs w:val="24"/>
          <w:lang w:val="es-PY"/>
        </w:rPr>
        <w:t>Enero-abril 2023: USD 18 millones</w:t>
      </w:r>
    </w:p>
    <w:sectPr w:rsidR="003E3E6D" w:rsidRPr="003E3E6D" w:rsidSect="005D6A5A">
      <w:headerReference w:type="default" r:id="rId12"/>
      <w:footerReference w:type="default" r:id="rId13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A2" w:rsidRDefault="00820BA2" w:rsidP="00BA0934">
      <w:pPr>
        <w:spacing w:after="0" w:line="240" w:lineRule="auto"/>
      </w:pPr>
      <w:r>
        <w:separator/>
      </w:r>
    </w:p>
  </w:endnote>
  <w:endnote w:type="continuationSeparator" w:id="0">
    <w:p w:rsidR="00820BA2" w:rsidRDefault="00820BA2" w:rsidP="00BA0934">
      <w:pPr>
        <w:spacing w:after="0" w:line="240" w:lineRule="auto"/>
      </w:pPr>
      <w:r>
        <w:continuationSeparator/>
      </w:r>
    </w:p>
  </w:endnote>
  <w:endnote w:type="continuationNotice" w:id="1">
    <w:p w:rsidR="00820BA2" w:rsidRDefault="00820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1E2F28" w:rsidRDefault="001E2F28" w:rsidP="001E2F28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A2" w:rsidRDefault="00820BA2" w:rsidP="00BA0934">
      <w:pPr>
        <w:spacing w:after="0" w:line="240" w:lineRule="auto"/>
      </w:pPr>
      <w:r>
        <w:separator/>
      </w:r>
    </w:p>
  </w:footnote>
  <w:footnote w:type="continuationSeparator" w:id="0">
    <w:p w:rsidR="00820BA2" w:rsidRDefault="00820BA2" w:rsidP="00BA0934">
      <w:pPr>
        <w:spacing w:after="0" w:line="240" w:lineRule="auto"/>
      </w:pPr>
      <w:r>
        <w:continuationSeparator/>
      </w:r>
    </w:p>
  </w:footnote>
  <w:footnote w:type="continuationNotice" w:id="1">
    <w:p w:rsidR="00820BA2" w:rsidRDefault="00820B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143E"/>
    <w:rsid w:val="00101F1A"/>
    <w:rsid w:val="001023ED"/>
    <w:rsid w:val="00111B86"/>
    <w:rsid w:val="00112F67"/>
    <w:rsid w:val="00116CC3"/>
    <w:rsid w:val="001276F9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6A35"/>
    <w:rsid w:val="001E2F28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8494C"/>
    <w:rsid w:val="002A1D6E"/>
    <w:rsid w:val="002A1F87"/>
    <w:rsid w:val="002A4268"/>
    <w:rsid w:val="002A43AE"/>
    <w:rsid w:val="002A4467"/>
    <w:rsid w:val="002C755E"/>
    <w:rsid w:val="002D0020"/>
    <w:rsid w:val="002D669A"/>
    <w:rsid w:val="002E06C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D4A00"/>
    <w:rsid w:val="003D5671"/>
    <w:rsid w:val="003E3E6D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D037A"/>
    <w:rsid w:val="005D6A5A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D739A"/>
    <w:rsid w:val="007E398C"/>
    <w:rsid w:val="007F5D54"/>
    <w:rsid w:val="008027E1"/>
    <w:rsid w:val="008040CD"/>
    <w:rsid w:val="00810875"/>
    <w:rsid w:val="00820BA2"/>
    <w:rsid w:val="00831030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83151"/>
    <w:rsid w:val="009938AB"/>
    <w:rsid w:val="009C4A1B"/>
    <w:rsid w:val="009C5C63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6E9B"/>
    <w:rsid w:val="00A501DC"/>
    <w:rsid w:val="00A54CE8"/>
    <w:rsid w:val="00A54EB9"/>
    <w:rsid w:val="00A63210"/>
    <w:rsid w:val="00A7074B"/>
    <w:rsid w:val="00A75950"/>
    <w:rsid w:val="00A77DF8"/>
    <w:rsid w:val="00A8398E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B35"/>
    <w:rsid w:val="00B052B6"/>
    <w:rsid w:val="00B06918"/>
    <w:rsid w:val="00B07C5D"/>
    <w:rsid w:val="00B14196"/>
    <w:rsid w:val="00B277F4"/>
    <w:rsid w:val="00B3118B"/>
    <w:rsid w:val="00B3525E"/>
    <w:rsid w:val="00B35B5F"/>
    <w:rsid w:val="00B35C42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7CAB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5A8C"/>
    <w:rsid w:val="00BE7282"/>
    <w:rsid w:val="00BF770D"/>
    <w:rsid w:val="00BF7E28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4706"/>
    <w:rsid w:val="00D91004"/>
    <w:rsid w:val="00DA777A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76BC8"/>
    <w:rsid w:val="00E9317F"/>
    <w:rsid w:val="00EA01F2"/>
    <w:rsid w:val="00EA2095"/>
    <w:rsid w:val="00EA245C"/>
    <w:rsid w:val="00EC1278"/>
    <w:rsid w:val="00EE408E"/>
    <w:rsid w:val="00EE7AAA"/>
    <w:rsid w:val="00EF4211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129AEBD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100"/>
              <a:t>USD millones</a:t>
            </a:r>
          </a:p>
        </c:rich>
      </c:tx>
      <c:layout>
        <c:manualLayout>
          <c:xMode val="edge"/>
          <c:yMode val="edge"/>
          <c:x val="0.41849779415870886"/>
          <c:y val="6.2337662337662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101</c:v>
                </c:pt>
                <c:pt idx="1">
                  <c:v>140</c:v>
                </c:pt>
                <c:pt idx="2">
                  <c:v>125</c:v>
                </c:pt>
                <c:pt idx="3">
                  <c:v>157</c:v>
                </c:pt>
                <c:pt idx="4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16</c:v>
                </c:pt>
                <c:pt idx="1">
                  <c:v>9</c:v>
                </c:pt>
                <c:pt idx="2">
                  <c:v>17</c:v>
                </c:pt>
                <c:pt idx="3">
                  <c:v>9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52369950522015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87B-403D-8281-84C2009AF1A2}"/>
                </c:ext>
              </c:extLst>
            </c:dLbl>
            <c:dLbl>
              <c:idx val="1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87B-403D-8281-84C2009AF1A2}"/>
                </c:ext>
              </c:extLst>
            </c:dLbl>
            <c:dLbl>
              <c:idx val="2"/>
              <c:layout>
                <c:manualLayout>
                  <c:x val="-9.4561555370980212E-17"/>
                  <c:y val="-4.76184975261007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7B-403D-8281-84C2009AF1A2}"/>
                </c:ext>
              </c:extLst>
            </c:dLbl>
            <c:dLbl>
              <c:idx val="3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87B-403D-8281-84C2009AF1A2}"/>
                </c:ext>
              </c:extLst>
            </c:dLbl>
            <c:dLbl>
              <c:idx val="4"/>
              <c:layout>
                <c:manualLayout>
                  <c:x val="-2.5789813023857468E-3"/>
                  <c:y val="-5.1948051948051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7B-403D-8281-84C2009AF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84</c:v>
                </c:pt>
                <c:pt idx="1">
                  <c:v>131</c:v>
                </c:pt>
                <c:pt idx="2">
                  <c:v>108</c:v>
                </c:pt>
                <c:pt idx="3">
                  <c:v>147</c:v>
                </c:pt>
                <c:pt idx="4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41"/>
        <c:axId val="140769408"/>
        <c:axId val="140769800"/>
      </c:barChart>
      <c:catAx>
        <c:axId val="14076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769800"/>
        <c:crosses val="autoZero"/>
        <c:auto val="1"/>
        <c:lblAlgn val="ctr"/>
        <c:lblOffset val="100"/>
        <c:noMultiLvlLbl val="0"/>
      </c:catAx>
      <c:valAx>
        <c:axId val="14076980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4076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Lenguas bovinas congeladas</c:v>
                </c:pt>
                <c:pt idx="1">
                  <c:v>Arroz no parbolizado</c:v>
                </c:pt>
                <c:pt idx="2">
                  <c:v>Carbón vegetal</c:v>
                </c:pt>
                <c:pt idx="3">
                  <c:v>Pellets de soja</c:v>
                </c:pt>
                <c:pt idx="4">
                  <c:v>Maíz</c:v>
                </c:pt>
                <c:pt idx="5">
                  <c:v>Carne bovina congelada</c:v>
                </c:pt>
              </c:strCache>
            </c:strRef>
          </c:cat>
          <c:val>
            <c:numRef>
              <c:f>Hoja1!$B$2:$B$7</c:f>
              <c:numCache>
                <c:formatCode>#,##0</c:formatCode>
                <c:ptCount val="6"/>
                <c:pt idx="0">
                  <c:v>854790</c:v>
                </c:pt>
                <c:pt idx="1">
                  <c:v>869335</c:v>
                </c:pt>
                <c:pt idx="2">
                  <c:v>5691887</c:v>
                </c:pt>
                <c:pt idx="3">
                  <c:v>10946484</c:v>
                </c:pt>
                <c:pt idx="4">
                  <c:v>20956002</c:v>
                </c:pt>
                <c:pt idx="5">
                  <c:v>100376898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0767056"/>
        <c:axId val="140766272"/>
      </c:barChart>
      <c:catAx>
        <c:axId val="140767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766272"/>
        <c:crosses val="autoZero"/>
        <c:auto val="1"/>
        <c:lblAlgn val="ctr"/>
        <c:lblOffset val="100"/>
        <c:noMultiLvlLbl val="0"/>
      </c:catAx>
      <c:valAx>
        <c:axId val="140766272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40767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47403179051361327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Preparaciones capilares, lacas y champúes</c:v>
                </c:pt>
                <c:pt idx="1">
                  <c:v>Fungicidas</c:v>
                </c:pt>
                <c:pt idx="2">
                  <c:v>Placas de polímeros de etileno </c:v>
                </c:pt>
                <c:pt idx="3">
                  <c:v>Aparatos y modelos para demostraciones</c:v>
                </c:pt>
                <c:pt idx="4">
                  <c:v>Revólveres y pistolas</c:v>
                </c:pt>
                <c:pt idx="5">
                  <c:v>Insecticidas</c:v>
                </c:pt>
                <c:pt idx="6">
                  <c:v>Herbicidas</c:v>
                </c:pt>
                <c:pt idx="7">
                  <c:v>Cloruro de potasio</c:v>
                </c:pt>
              </c:strCache>
            </c:strRef>
          </c:cat>
          <c:val>
            <c:numRef>
              <c:f>Hoja1!$B$2:$B$9</c:f>
              <c:numCache>
                <c:formatCode>#,##0</c:formatCode>
                <c:ptCount val="8"/>
                <c:pt idx="0">
                  <c:v>575893</c:v>
                </c:pt>
                <c:pt idx="1">
                  <c:v>797732</c:v>
                </c:pt>
                <c:pt idx="2">
                  <c:v>847051</c:v>
                </c:pt>
                <c:pt idx="3">
                  <c:v>899852</c:v>
                </c:pt>
                <c:pt idx="4">
                  <c:v>1209858</c:v>
                </c:pt>
                <c:pt idx="5">
                  <c:v>2846630</c:v>
                </c:pt>
                <c:pt idx="6">
                  <c:v>5121324</c:v>
                </c:pt>
                <c:pt idx="7">
                  <c:v>7940693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0766664"/>
        <c:axId val="140770584"/>
      </c:barChart>
      <c:catAx>
        <c:axId val="140766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770584"/>
        <c:crosses val="autoZero"/>
        <c:auto val="1"/>
        <c:lblAlgn val="ctr"/>
        <c:lblOffset val="100"/>
        <c:noMultiLvlLbl val="0"/>
      </c:catAx>
      <c:valAx>
        <c:axId val="140770584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40766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846469194290852"/>
          <c:y val="0.14955645161290324"/>
          <c:w val="0.48688753668228268"/>
          <c:h val="0.7138503302006603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20232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Hoja1!$A$2:$A$10</c:f>
              <c:strCache>
                <c:ptCount val="9"/>
                <c:pt idx="0">
                  <c:v>Yerba mate</c:v>
                </c:pt>
                <c:pt idx="1">
                  <c:v>Arroz no parbolizado</c:v>
                </c:pt>
                <c:pt idx="2">
                  <c:v>Sebo bovino en bruto</c:v>
                </c:pt>
                <c:pt idx="3">
                  <c:v>Materias textiles para pelucas</c:v>
                </c:pt>
                <c:pt idx="4">
                  <c:v>Despojos congelados de bovinos</c:v>
                </c:pt>
                <c:pt idx="5">
                  <c:v>Lenguas bovinas congeladas</c:v>
                </c:pt>
                <c:pt idx="6">
                  <c:v>Carbón vegetal</c:v>
                </c:pt>
                <c:pt idx="7">
                  <c:v>Pellets de soja</c:v>
                </c:pt>
                <c:pt idx="8">
                  <c:v>Carne bovina congelada</c:v>
                </c:pt>
              </c:strCache>
            </c:strRef>
          </c:cat>
          <c:val>
            <c:numRef>
              <c:f>Hoja1!$B$2:$B$10</c:f>
              <c:numCache>
                <c:formatCode>#,##0</c:formatCode>
                <c:ptCount val="9"/>
                <c:pt idx="0">
                  <c:v>40000</c:v>
                </c:pt>
                <c:pt idx="1">
                  <c:v>443430</c:v>
                </c:pt>
                <c:pt idx="2">
                  <c:v>95109</c:v>
                </c:pt>
                <c:pt idx="3">
                  <c:v>0</c:v>
                </c:pt>
                <c:pt idx="4">
                  <c:v>161803</c:v>
                </c:pt>
                <c:pt idx="5">
                  <c:v>115863</c:v>
                </c:pt>
                <c:pt idx="6">
                  <c:v>1755456</c:v>
                </c:pt>
                <c:pt idx="7" formatCode="General">
                  <c:v>0</c:v>
                </c:pt>
                <c:pt idx="8">
                  <c:v>14831749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C9-4FF4-82B7-D0E53C35DC5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Hoja1!$A$2:$A$10</c:f>
              <c:strCache>
                <c:ptCount val="9"/>
                <c:pt idx="0">
                  <c:v>Yerba mate</c:v>
                </c:pt>
                <c:pt idx="1">
                  <c:v>Arroz no parbolizado</c:v>
                </c:pt>
                <c:pt idx="2">
                  <c:v>Sebo bovino en bruto</c:v>
                </c:pt>
                <c:pt idx="3">
                  <c:v>Materias textiles para pelucas</c:v>
                </c:pt>
                <c:pt idx="4">
                  <c:v>Despojos congelados de bovinos</c:v>
                </c:pt>
                <c:pt idx="5">
                  <c:v>Lenguas bovinas congeladas</c:v>
                </c:pt>
                <c:pt idx="6">
                  <c:v>Carbón vegetal</c:v>
                </c:pt>
                <c:pt idx="7">
                  <c:v>Pellets de soja</c:v>
                </c:pt>
                <c:pt idx="8">
                  <c:v>Carne bovina congelada</c:v>
                </c:pt>
              </c:strCache>
            </c:strRef>
          </c:cat>
          <c:val>
            <c:numRef>
              <c:f>Hoja1!$C$2:$C$10</c:f>
              <c:numCache>
                <c:formatCode>#,##0</c:formatCode>
                <c:ptCount val="9"/>
                <c:pt idx="0">
                  <c:v>85302</c:v>
                </c:pt>
                <c:pt idx="1">
                  <c:v>156975</c:v>
                </c:pt>
                <c:pt idx="2">
                  <c:v>262268</c:v>
                </c:pt>
                <c:pt idx="3">
                  <c:v>327657</c:v>
                </c:pt>
                <c:pt idx="4">
                  <c:v>387708</c:v>
                </c:pt>
                <c:pt idx="5">
                  <c:v>464963</c:v>
                </c:pt>
                <c:pt idx="6">
                  <c:v>1623218</c:v>
                </c:pt>
                <c:pt idx="7">
                  <c:v>10946484</c:v>
                </c:pt>
                <c:pt idx="8">
                  <c:v>60293452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C9-4FF4-82B7-D0E53C35DC5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-39"/>
        <c:axId val="140771368"/>
        <c:axId val="142651320"/>
      </c:barChart>
      <c:catAx>
        <c:axId val="140771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2651320"/>
        <c:crosses val="autoZero"/>
        <c:auto val="1"/>
        <c:lblAlgn val="ctr"/>
        <c:lblOffset val="100"/>
        <c:noMultiLvlLbl val="0"/>
      </c:catAx>
      <c:valAx>
        <c:axId val="142651320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Ene. - Abr. 2022 / Ene. - Abr. 2023</a:t>
                </a:r>
              </a:p>
            </c:rich>
          </c:tx>
          <c:layout>
            <c:manualLayout>
              <c:xMode val="edge"/>
              <c:yMode val="edge"/>
              <c:x val="0.17472036270663158"/>
              <c:y val="9.579373556223452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#,##0" sourceLinked="1"/>
        <c:majorTickMark val="none"/>
        <c:minorTickMark val="none"/>
        <c:tickLblPos val="nextTo"/>
        <c:crossAx val="140771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8055545009126019"/>
          <c:y val="9.3848332049976377E-2"/>
          <c:w val="0.15877601328294508"/>
          <c:h val="3.54892073822002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2DBA-F418-4DAC-A1E6-45FAD9F7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76</cp:revision>
  <cp:lastPrinted>2023-04-14T12:46:00Z</cp:lastPrinted>
  <dcterms:created xsi:type="dcterms:W3CDTF">2023-04-25T15:26:00Z</dcterms:created>
  <dcterms:modified xsi:type="dcterms:W3CDTF">2023-06-20T19:48:00Z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