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81" w:rsidRPr="00575DD0" w:rsidRDefault="00A36881" w:rsidP="00A36881">
      <w:pPr>
        <w:pStyle w:val="Default"/>
        <w:jc w:val="center"/>
        <w:rPr>
          <w:b/>
          <w:sz w:val="28"/>
          <w:szCs w:val="28"/>
          <w:u w:val="single"/>
        </w:rPr>
      </w:pPr>
      <w:r w:rsidRPr="00575DD0">
        <w:rPr>
          <w:b/>
          <w:sz w:val="28"/>
          <w:szCs w:val="28"/>
          <w:u w:val="single"/>
        </w:rPr>
        <w:t xml:space="preserve">Como Realizar y </w:t>
      </w:r>
      <w:r>
        <w:rPr>
          <w:b/>
          <w:sz w:val="28"/>
          <w:szCs w:val="28"/>
          <w:u w:val="single"/>
        </w:rPr>
        <w:t xml:space="preserve">a </w:t>
      </w:r>
      <w:r w:rsidRPr="00575DD0">
        <w:rPr>
          <w:b/>
          <w:sz w:val="28"/>
          <w:szCs w:val="28"/>
          <w:u w:val="single"/>
        </w:rPr>
        <w:t>Donde Recurrir</w:t>
      </w:r>
    </w:p>
    <w:p w:rsidR="00A36881" w:rsidRDefault="00A36881" w:rsidP="00A36881">
      <w:pPr>
        <w:pStyle w:val="Default"/>
      </w:pPr>
    </w:p>
    <w:p w:rsidR="00A36881" w:rsidRPr="00575DD0" w:rsidRDefault="00A36881" w:rsidP="00A36881">
      <w:pPr>
        <w:pStyle w:val="Default"/>
        <w:jc w:val="both"/>
      </w:pPr>
      <w:r w:rsidRPr="00575DD0">
        <w:rPr>
          <w:b/>
          <w:bCs/>
          <w:u w:val="single"/>
        </w:rPr>
        <w:t>Forma y contenido</w:t>
      </w:r>
      <w:r>
        <w:t>:</w:t>
      </w:r>
      <w:r w:rsidRPr="00575DD0">
        <w:t xml:space="preserve"> Toda persona interesada en acceder a la información pública, deberá presentar una solicitud ante la oficina establecida en la fuente pública correspondiente, personalmente, por correo electrónico, en forma escrita o verbal, y en este último caso, se extenderá un acta. La presentación contendrá la identificación del solicitante, su domicilio real, la descripción clara y precisa de la información pública que requiere, y finalmente, el formato o soporte preferido, sin que esto último constituya una obligación para el requerido.</w:t>
      </w:r>
    </w:p>
    <w:p w:rsidR="00A36881" w:rsidRPr="00575DD0" w:rsidRDefault="00A36881" w:rsidP="00A36881">
      <w:pPr>
        <w:pStyle w:val="Default"/>
        <w:jc w:val="both"/>
      </w:pPr>
    </w:p>
    <w:p w:rsidR="00A36881" w:rsidRPr="00575DD0" w:rsidRDefault="00A36881" w:rsidP="00A36881">
      <w:pPr>
        <w:pStyle w:val="Default"/>
        <w:jc w:val="both"/>
      </w:pPr>
      <w:r w:rsidRPr="00575DD0">
        <w:t>Solicitud de información* (</w:t>
      </w:r>
      <w:proofErr w:type="spellStart"/>
      <w:r w:rsidRPr="00575DD0">
        <w:t>Click</w:t>
      </w:r>
      <w:proofErr w:type="spellEnd"/>
      <w:r w:rsidRPr="00575DD0">
        <w:t xml:space="preserve"> para acceder al Formulario)</w:t>
      </w:r>
    </w:p>
    <w:p w:rsidR="00A36881" w:rsidRDefault="00A36881" w:rsidP="00A36881">
      <w:pPr>
        <w:pStyle w:val="Default"/>
        <w:jc w:val="both"/>
      </w:pPr>
      <w:r w:rsidRPr="00575DD0">
        <w:t xml:space="preserve">*Plazo de entrega de la información solicitada: Quince días hábiles contados a partir del día siguiente de la recepción oficial de la solicitud. Art.16 Ley 5282/14 </w:t>
      </w:r>
    </w:p>
    <w:p w:rsidR="00A36881" w:rsidRPr="00575DD0" w:rsidRDefault="00A36881" w:rsidP="00A36881">
      <w:pPr>
        <w:pStyle w:val="Default"/>
        <w:jc w:val="both"/>
      </w:pPr>
    </w:p>
    <w:p w:rsidR="00A36881" w:rsidRPr="00575DD0" w:rsidRDefault="00A36881" w:rsidP="00A36881">
      <w:pPr>
        <w:pStyle w:val="Default"/>
        <w:jc w:val="both"/>
      </w:pPr>
      <w:r w:rsidRPr="00575DD0">
        <w:t>Resolución 108 del Ministro de Relaciones Exteriores de fecha 19 de febrero de 2016 “Por la cual se crea la Oficina de Acceso a la Información Pública del Ministerio de Relaciones Exteriores”</w:t>
      </w:r>
    </w:p>
    <w:p w:rsidR="00A36881" w:rsidRPr="00575DD0" w:rsidRDefault="00A36881" w:rsidP="00A36881">
      <w:pPr>
        <w:pStyle w:val="Default"/>
        <w:jc w:val="both"/>
      </w:pPr>
    </w:p>
    <w:p w:rsidR="00A36881" w:rsidRPr="00A36881" w:rsidRDefault="00A36881" w:rsidP="00A36881">
      <w:pPr>
        <w:jc w:val="both"/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</w:pPr>
      <w:r w:rsidRPr="00A36881"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  <w:t>Resolución número 238 del Ministro de Relaciones Exteriores de fecha 7 de marzo de 2019 “Por la se modifica parcialmente el artículo 2 de la Resolución N° 108, de fecha 19 de febrero de 2016, “Por la cual se crea la Oficina de Acceso a la Información Pública del Ministerio de Relaciones Exteriores”, y se incorpora dicha dependencia en la estructura orgánica de la Unidad Anticorrupción, sin perjuicio de su subordinación directa a la Máxima Autoridad Institucional”.</w:t>
      </w:r>
    </w:p>
    <w:p w:rsidR="00A36881" w:rsidRDefault="00A36881" w:rsidP="00A36881">
      <w:pPr>
        <w:jc w:val="both"/>
        <w:rPr>
          <w:rFonts w:asciiTheme="minorHAnsi" w:hAnsiTheme="minorHAnsi" w:cstheme="minorHAnsi"/>
        </w:rPr>
      </w:pPr>
    </w:p>
    <w:p w:rsidR="00A36881" w:rsidRDefault="00A36881" w:rsidP="00A36881">
      <w:pPr>
        <w:pStyle w:val="Default"/>
        <w:jc w:val="both"/>
      </w:pPr>
    </w:p>
    <w:p w:rsidR="00A36881" w:rsidRPr="00BB409F" w:rsidRDefault="00A36881" w:rsidP="00A36881">
      <w:pPr>
        <w:jc w:val="both"/>
        <w:rPr>
          <w:rFonts w:asciiTheme="minorHAnsi" w:hAnsiTheme="minorHAnsi" w:cstheme="minorHAnsi"/>
          <w:sz w:val="24"/>
          <w:szCs w:val="24"/>
        </w:rPr>
      </w:pPr>
      <w:r w:rsidRPr="00BB409F">
        <w:rPr>
          <w:rFonts w:asciiTheme="minorHAnsi" w:hAnsiTheme="minorHAnsi" w:cstheme="minorHAnsi"/>
          <w:sz w:val="24"/>
          <w:szCs w:val="24"/>
        </w:rPr>
        <w:t xml:space="preserve">Responsable: </w:t>
      </w:r>
      <w:r w:rsidRPr="00BB409F">
        <w:rPr>
          <w:rFonts w:asciiTheme="minorHAnsi" w:hAnsiTheme="minorHAnsi" w:cstheme="minorHAnsi"/>
          <w:b/>
          <w:bCs/>
          <w:sz w:val="24"/>
          <w:szCs w:val="24"/>
        </w:rPr>
        <w:t xml:space="preserve">Ministro Jerónimo Ocampos </w:t>
      </w:r>
      <w:r w:rsidRPr="00BB409F">
        <w:rPr>
          <w:rFonts w:asciiTheme="minorHAnsi" w:hAnsiTheme="minorHAnsi" w:cstheme="minorHAnsi"/>
          <w:sz w:val="24"/>
          <w:szCs w:val="24"/>
        </w:rPr>
        <w:t>Coordinador de la Oficina de Acceso a la Información Pública dependiente de la Unidad Anticorrupción</w:t>
      </w:r>
    </w:p>
    <w:p w:rsidR="00A36881" w:rsidRPr="00BB409F" w:rsidRDefault="00A36881" w:rsidP="00A36881">
      <w:pPr>
        <w:jc w:val="both"/>
        <w:rPr>
          <w:rFonts w:asciiTheme="minorHAnsi" w:hAnsiTheme="minorHAnsi" w:cstheme="minorHAnsi"/>
          <w:sz w:val="24"/>
          <w:szCs w:val="24"/>
        </w:rPr>
      </w:pPr>
      <w:r w:rsidRPr="00BB409F">
        <w:rPr>
          <w:rFonts w:asciiTheme="minorHAnsi" w:hAnsiTheme="minorHAnsi" w:cstheme="minorHAnsi"/>
          <w:b/>
          <w:sz w:val="24"/>
          <w:szCs w:val="24"/>
        </w:rPr>
        <w:t>Abg. Norberto González</w:t>
      </w:r>
      <w:r w:rsidRPr="00BB409F">
        <w:rPr>
          <w:rFonts w:asciiTheme="minorHAnsi" w:hAnsiTheme="minorHAnsi" w:cstheme="minorHAnsi"/>
          <w:sz w:val="24"/>
          <w:szCs w:val="24"/>
        </w:rPr>
        <w:t xml:space="preserve"> encargado</w:t>
      </w:r>
      <w:r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A36881" w:rsidRPr="00A36881" w:rsidRDefault="00A36881" w:rsidP="00A36881">
      <w:pPr>
        <w:jc w:val="both"/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A36881" w:rsidRPr="00A36881" w:rsidTr="00812642">
        <w:trPr>
          <w:trHeight w:hRule="exact" w:val="1"/>
        </w:trPr>
        <w:tc>
          <w:tcPr>
            <w:tcW w:w="236" w:type="dxa"/>
          </w:tcPr>
          <w:p w:rsidR="00A36881" w:rsidRPr="00A36881" w:rsidRDefault="00A36881" w:rsidP="00812642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PY" w:eastAsia="en-US"/>
              </w:rPr>
            </w:pPr>
            <w:r w:rsidRPr="00A36881"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PY" w:eastAsia="en-US"/>
              </w:rPr>
              <w:t xml:space="preserve"> Palma y 14 de Mayo - Palacio Benigno López Teléfono: (595-21) 414 8911, (595-21) 414 8915 Asunción - Paraguay https://www.mre.gov.py </w:t>
            </w:r>
          </w:p>
        </w:tc>
      </w:tr>
    </w:tbl>
    <w:p w:rsidR="00A36881" w:rsidRPr="00A36881" w:rsidRDefault="00A36881" w:rsidP="00A36881">
      <w:pPr>
        <w:jc w:val="both"/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</w:pPr>
      <w:r w:rsidRPr="00A36881"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  <w:t xml:space="preserve">Palma y 14 de </w:t>
      </w:r>
      <w:proofErr w:type="gramStart"/>
      <w:r w:rsidRPr="00A36881"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  <w:t>Mayo</w:t>
      </w:r>
      <w:proofErr w:type="gramEnd"/>
      <w:r w:rsidRPr="00A36881"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  <w:t xml:space="preserve"> - Palacio Benigno López Teléfono: (595-21) 414 8911, (595-21) 414 8915 Asunción - Paraguay https://www.mre.gov.py</w:t>
      </w:r>
    </w:p>
    <w:p w:rsidR="00A536F1" w:rsidRPr="00A36881" w:rsidRDefault="00A536F1" w:rsidP="00067932">
      <w:pPr>
        <w:jc w:val="both"/>
        <w:rPr>
          <w:rFonts w:ascii="Calibri" w:eastAsiaTheme="minorHAnsi" w:hAnsi="Calibri" w:cs="Calibri"/>
          <w:color w:val="000000"/>
          <w:sz w:val="24"/>
          <w:szCs w:val="24"/>
          <w:lang w:val="es-PY" w:eastAsia="en-US"/>
        </w:rPr>
      </w:pPr>
    </w:p>
    <w:p w:rsidR="00726861" w:rsidRDefault="00726861" w:rsidP="00691A10">
      <w:pPr>
        <w:tabs>
          <w:tab w:val="left" w:pos="1740"/>
        </w:tabs>
        <w:jc w:val="both"/>
        <w:rPr>
          <w:color w:val="000000" w:themeColor="text1"/>
        </w:rPr>
      </w:pPr>
    </w:p>
    <w:p w:rsidR="009C11C9" w:rsidRPr="00434877" w:rsidRDefault="009C11C9" w:rsidP="009C11C9">
      <w:pPr>
        <w:jc w:val="both"/>
        <w:rPr>
          <w:color w:val="000000" w:themeColor="text1"/>
          <w:lang w:val="es-PY"/>
        </w:rPr>
      </w:pPr>
    </w:p>
    <w:sectPr w:rsidR="009C11C9" w:rsidRPr="00434877" w:rsidSect="00805D54">
      <w:headerReference w:type="default" r:id="rId8"/>
      <w:footerReference w:type="default" r:id="rId9"/>
      <w:pgSz w:w="11907" w:h="16839" w:code="9"/>
      <w:pgMar w:top="1146" w:right="1608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07" w:rsidRDefault="00457C07" w:rsidP="007028FC">
      <w:r>
        <w:separator/>
      </w:r>
    </w:p>
  </w:endnote>
  <w:endnote w:type="continuationSeparator" w:id="0">
    <w:p w:rsidR="00457C07" w:rsidRDefault="00457C07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AF20A2" w:rsidTr="00AF20A2">
      <w:tc>
        <w:tcPr>
          <w:tcW w:w="4369" w:type="dxa"/>
        </w:tcPr>
        <w:p w:rsidR="00AF20A2" w:rsidRDefault="00AF20A2" w:rsidP="00AF20A2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 w:rsidRPr="007D5382"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 una política exterior orientada a la promoción y defensa de los intereses del Estado, sus nacionales y del Derecho Internacional; con eficiencia, idoneidad y patriotismo.</w:t>
          </w:r>
        </w:p>
        <w:p w:rsidR="00AF20A2" w:rsidRDefault="00AF20A2" w:rsidP="00434877">
          <w:pPr>
            <w:pStyle w:val="Piedepgina"/>
          </w:pPr>
        </w:p>
      </w:tc>
      <w:tc>
        <w:tcPr>
          <w:tcW w:w="4369" w:type="dxa"/>
        </w:tcPr>
        <w:p w:rsidR="00AF20A2" w:rsidRDefault="00AF20A2" w:rsidP="00AF20A2">
          <w:pPr>
            <w:pStyle w:val="Piedepgina"/>
            <w:ind w:left="172"/>
            <w:jc w:val="both"/>
          </w:pPr>
          <w:r w:rsidRPr="00F67A8C"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 w:rsidRPr="00F67A8C"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 con liderazgo interno, que promueve y resguarda los intereses nacionales en la agenda internacional</w:t>
          </w:r>
        </w:p>
      </w:tc>
    </w:tr>
  </w:tbl>
  <w:p w:rsidR="00B34B39" w:rsidRPr="00434877" w:rsidRDefault="00434877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07" w:rsidRDefault="00457C07" w:rsidP="007028FC">
      <w:r>
        <w:separator/>
      </w:r>
    </w:p>
  </w:footnote>
  <w:footnote w:type="continuationSeparator" w:id="0">
    <w:p w:rsidR="00457C07" w:rsidRDefault="00457C07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F0" w:rsidRPr="00434877" w:rsidRDefault="00B43F45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  <w:r w:rsidR="00726861" w:rsidRPr="0072686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3F61E2CA" wp14:editId="29463088">
          <wp:extent cx="2752725" cy="849998"/>
          <wp:effectExtent l="0" t="0" r="0" b="7620"/>
          <wp:docPr id="116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338" cy="87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EEE" w:rsidRPr="00925AD5" w:rsidRDefault="00925AD5" w:rsidP="00434877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b/>
        <w:i/>
        <w:sz w:val="36"/>
        <w:szCs w:val="36"/>
      </w:rPr>
    </w:pPr>
    <w:r w:rsidRPr="00925AD5">
      <w:rPr>
        <w:rFonts w:ascii="Edwardian Script ITC" w:eastAsiaTheme="minorHAnsi" w:hAnsi="Edwardian Script ITC" w:cstheme="minorBidi"/>
        <w:b/>
        <w:i/>
        <w:sz w:val="36"/>
        <w:szCs w:val="36"/>
      </w:rPr>
      <w:t>Unidad Anticorrupción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211E9"/>
    <w:rsid w:val="00067932"/>
    <w:rsid w:val="000C76E4"/>
    <w:rsid w:val="000E5EB5"/>
    <w:rsid w:val="00123616"/>
    <w:rsid w:val="001238E0"/>
    <w:rsid w:val="0018560B"/>
    <w:rsid w:val="001A0270"/>
    <w:rsid w:val="001C439C"/>
    <w:rsid w:val="001D19BA"/>
    <w:rsid w:val="00203464"/>
    <w:rsid w:val="00207F51"/>
    <w:rsid w:val="002332C4"/>
    <w:rsid w:val="0027162F"/>
    <w:rsid w:val="00283761"/>
    <w:rsid w:val="002F0607"/>
    <w:rsid w:val="003269E2"/>
    <w:rsid w:val="00375C85"/>
    <w:rsid w:val="0039371D"/>
    <w:rsid w:val="003F5461"/>
    <w:rsid w:val="00434877"/>
    <w:rsid w:val="0043777C"/>
    <w:rsid w:val="00457C07"/>
    <w:rsid w:val="00460CD0"/>
    <w:rsid w:val="0046338C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91A10"/>
    <w:rsid w:val="006A41DF"/>
    <w:rsid w:val="007028FC"/>
    <w:rsid w:val="0070788E"/>
    <w:rsid w:val="007147FE"/>
    <w:rsid w:val="00721746"/>
    <w:rsid w:val="00726861"/>
    <w:rsid w:val="00731B51"/>
    <w:rsid w:val="00735402"/>
    <w:rsid w:val="0077628D"/>
    <w:rsid w:val="007A231D"/>
    <w:rsid w:val="007D4D8A"/>
    <w:rsid w:val="007D5382"/>
    <w:rsid w:val="00805D54"/>
    <w:rsid w:val="008165A5"/>
    <w:rsid w:val="0081705B"/>
    <w:rsid w:val="00843633"/>
    <w:rsid w:val="00854CDD"/>
    <w:rsid w:val="0088204A"/>
    <w:rsid w:val="00925AD5"/>
    <w:rsid w:val="00925F2D"/>
    <w:rsid w:val="00957A99"/>
    <w:rsid w:val="009722A1"/>
    <w:rsid w:val="00996EEE"/>
    <w:rsid w:val="009B461F"/>
    <w:rsid w:val="009C11C9"/>
    <w:rsid w:val="009C6FCA"/>
    <w:rsid w:val="009D046C"/>
    <w:rsid w:val="009D5202"/>
    <w:rsid w:val="00A178CC"/>
    <w:rsid w:val="00A2040F"/>
    <w:rsid w:val="00A36881"/>
    <w:rsid w:val="00A5171A"/>
    <w:rsid w:val="00A53107"/>
    <w:rsid w:val="00A536F1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72731"/>
    <w:rsid w:val="00B97335"/>
    <w:rsid w:val="00B97E70"/>
    <w:rsid w:val="00BD26E3"/>
    <w:rsid w:val="00BD474B"/>
    <w:rsid w:val="00C3354B"/>
    <w:rsid w:val="00C4104E"/>
    <w:rsid w:val="00C60204"/>
    <w:rsid w:val="00C75C67"/>
    <w:rsid w:val="00C77C5C"/>
    <w:rsid w:val="00CA2929"/>
    <w:rsid w:val="00CE0572"/>
    <w:rsid w:val="00CF758E"/>
    <w:rsid w:val="00D56176"/>
    <w:rsid w:val="00D62D86"/>
    <w:rsid w:val="00DF5CE0"/>
    <w:rsid w:val="00E31883"/>
    <w:rsid w:val="00E80803"/>
    <w:rsid w:val="00E871A7"/>
    <w:rsid w:val="00EA1AF0"/>
    <w:rsid w:val="00F8257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F7C70"/>
  <w15:docId w15:val="{EEC30153-ABAD-4A32-8645-EE5F1DF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4C4A-B457-4729-B266-00311774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Jerónimo Ocampos</cp:lastModifiedBy>
  <cp:revision>2</cp:revision>
  <cp:lastPrinted>2023-08-16T14:31:00Z</cp:lastPrinted>
  <dcterms:created xsi:type="dcterms:W3CDTF">2023-09-06T12:41:00Z</dcterms:created>
  <dcterms:modified xsi:type="dcterms:W3CDTF">2023-09-06T12:41:00Z</dcterms:modified>
</cp:coreProperties>
</file>